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LLE8006 – Variação Linguística e Ensino de Português como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Segunda Língua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Descrição: </w:t>
      </w:r>
      <w:r w:rsidDel="00000000" w:rsidR="00000000" w:rsidRPr="00000000">
        <w:rPr>
          <w:rtl w:val="0"/>
        </w:rPr>
        <w:t xml:space="preserve">Prática de ensino do Português como Segunda Língua em diferentes contextos de ensino/aprendizagem, abordando questões de variação linguística.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ALMEIDA FILHO, José (org.). Parâmetros Atuais para o Ensino de Português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Língua Estrangeira.Campinas, SP: Pontes, 1997.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BAGNO, Marcos. Gramática pedagógica do português brasileiro. São Paulo: Parábola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Editorial, 2011 BAGNO, Marcos. Gramática de bolso do português brasileiro. São Paulo: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Parábola Editorial, 2013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CUNHA, M.J.C; SANTOS, P. (orgs.). Ensino e Pesquisa em Português para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Estrangeiros: Programa de Ensino e Pesquisa em Português para Falantes de Outras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Línguas. Brasília: Editora da Universidade deBrasília, 1998.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ABRAHÃO, Maria Helena. Crenças, pressupostos e conhecimentos de alunos-professores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 língua estrangeira e sua formação inicial. In: ABRAHÃO, Maria Helena. Prática de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ensino de língua estrangeira: experiências e reflexões. Campina, Pontes, 2004, p. 131-152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ALMEIDA FILHO, José. O ensino de português como língua não-materna: concepções 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contextos de ensino. São Paulo: Museu da língua portuguesa, 14/05/2009. Disponível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em:http://www.poiesis.org.br/mlp/colunas_interna.php?id_coluna=4. Acessado em 20 de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setembro de 2009.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BAGNO, Marcos. Gramática do português brasileiro. São Paulo: Parábola Editorial, 2010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JÚDICE, Norimar. Representações do Brasil dos anos 40 e 90 em textos de materiais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didáticos para o ensino de português para estrangeiros. In: MAYER, R. M. de B. 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REBELO, I. (org.) Português para estrangeiros: Territórios e fronteiras, 2009, p. 37-48.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Disponível em http://www.letras.pucrio.br/publicacoes/ccci/geral.html.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SILVEIRA, Rosane; XHAFAJ, Donesca. Português para Falantes de Outras Línguas: 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Atuação do Núcleo de Pesquisa e Ensino de Português – Língua Estrangeira. In: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TOMITCH, Lêda M.B.; HEBERLE, Viviane M.(Orgs.). Perspectivas atuais de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aprendizagem e ensino de línguas. Florianópolis, S.C.:LLE/PPGI/UFSC, 2017.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WEININGER, Markus. Do aquário em direção ao mar aberto: Mudanças no papel do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professor e do aluno. In: LEFFA, V. J. (org.). O professor de línguas estrangeiras: 73 Construindo a profissão. Pelotas: Educat, 2008, p.45-74. Site: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http://portal.mec.gov.br/index.php?option=com_content&amp;view=article&amp;id=12270&amp;Itemid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=519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