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 8062 Ensino e Aprendizagem de Literatura em Língua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Estrangeira I (PCC 72h-a)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Didática da literatura para as aulas de LE nas escolas, com ênfase em textos narrativos.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Estratégias e práticas de leitura e análise textual, elaboração de material didático com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recursos multimídia. Apresentação de atividades em eventos nas áreas de ensino 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pesquisa que envolva presença de alunos de escolas de ensino básico e médio e de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universidades (SEPEX e similares).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BORDINI, Maria da Glória; AGUIAR, Vera Teixeira de. Literatura: a formação do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leitor. Porto Alegre:Mercado Aberto, 1993.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CANDIDO, Antonio. Vários escritos.4 ed. São Paulo: Duas Cidades, 1970.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KLEIMAN, Ângela. Leitura, ensino e pesquisa. Campinas, SP: Pontes, 2008.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AGUIAR, Vera Teixeira de. “Leitura literária e escola”,In: EVANGELISTA, Aracy,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BRINA, Heliana, MACHADO, Maria Zélia (orgs). A Escolarização da Leitura Literária: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 Jogo do Livro Infantil e Juvenil.Belo Horizonte: Autêntica, 2011.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ANTUNES, Irandé. Língua, texto e ensino: outra escola possível. São Paulo: Parábola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Editorial, 2009.BRAGA, Regina Maria; SILVESTRE, Maria de Fátima B. Construindo 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Leitor Competente. São Paulo: Peirópolis, 2012.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