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b w:val="1"/>
          <w:rtl w:val="0"/>
        </w:rPr>
        <w:t xml:space="preserve">Nome da Disciplina:</w:t>
      </w:r>
      <w:r w:rsidDel="00000000" w:rsidR="00000000" w:rsidRPr="00000000">
        <w:rPr>
          <w:rtl w:val="0"/>
        </w:rPr>
        <w:t xml:space="preserve"> LLE8075 - Tradução literária comentada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b w:val="1"/>
          <w:rtl w:val="0"/>
        </w:rPr>
        <w:t xml:space="preserve">Carga Horária:</w:t>
      </w:r>
      <w:r w:rsidDel="00000000" w:rsidR="00000000" w:rsidRPr="00000000">
        <w:rPr>
          <w:rtl w:val="0"/>
        </w:rPr>
        <w:t xml:space="preserve"> 72h/a – 04 créditos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b w:val="1"/>
          <w:rtl w:val="0"/>
        </w:rPr>
        <w:t xml:space="preserve">Descrição: </w:t>
      </w:r>
      <w:r w:rsidDel="00000000" w:rsidR="00000000" w:rsidRPr="00000000">
        <w:rPr>
          <w:rtl w:val="0"/>
        </w:rPr>
        <w:t xml:space="preserve">Aplicação de modelos teóricos e de estratégias tradutórias à análise de textos literários originais e/outraduzidos e à prática da tradução comentada.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Básica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BASSNETT, Susan. Estudos de Tradução. Trad. Sônia Terezinha Gehring et al.. Porto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Alegre: Editora da UFRGS, 2005.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BERMAN, Antoine. A tradução e a letra ou o albergue longínquo. Tubarão: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Copiart/Florianópolis: PGET, Tradução de Marie-Hélène Torres, Mauri Furlan &amp; Andréia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Guerini, 2013.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LAMBERT, José. Literatura e tradução. Textos selecionados de José Lambert. [orgs.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Andréia Guerini, Marie-Hélène Catherine Torres e Walter Carlos Costa]. Rio de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Janeiro/Florianópolis: 7Letras, PGET, 2011.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Bibliografia complementar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Antologia bilíngue de clássicos da teoria da tradução. vol 1 a 4 (Alemão, Francês,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Italiano eRenascimento). Florianópolis: NUT-NUPLITT, 2004-2010.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ECO, Umberto. Quase a mesma coisa. Experiências de tradução. Rio de Janeiro: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Record, 2007. Trad.Eliana Aguiar.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OUSTINOFF, Michael. Tradução - História, Teorias e Métodos. Trad. Marcos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Marcionilo. São Paulo:Parábola Editorial, 2011.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RICOEUR, Paul. Sobre a tradução. Trad. Patricia Lavelle. UFMG, 2011.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Vozes tradutórias: 20 anos de Cadernos de Tradução. Andréia Guerini, Marie-Hélène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Catherine Torres&amp; Walter Carlos Costa (Org.). 2016.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https://repositorio.ufsc.br/handle/123456789/178891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